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88" w:rsidRPr="00CE4EC0" w:rsidRDefault="00E00531" w:rsidP="00734135">
      <w:pPr>
        <w:bidi/>
        <w:jc w:val="center"/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</w:pPr>
      <w:r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t>«</w:t>
      </w:r>
      <w:r w:rsidR="00CE4EC0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t>هزین</w:t>
      </w:r>
      <w:r w:rsidR="00734135">
        <w:rPr>
          <w:rFonts w:ascii="Titr" w:hAnsi="Titr" w:cs="B Zar" w:hint="cs"/>
          <w:b/>
          <w:bCs/>
          <w:color w:val="FF0000"/>
          <w:sz w:val="34"/>
          <w:szCs w:val="28"/>
          <w:rtl/>
          <w:lang w:bidi="fa-IR"/>
        </w:rPr>
        <w:t xml:space="preserve">ۀ </w:t>
      </w:r>
      <w:r w:rsidR="00CE4EC0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softHyphen/>
      </w:r>
      <w:r w:rsidR="00CE4EC0" w:rsidRPr="00CE4EC0">
        <w:rPr>
          <w:rFonts w:ascii="Titr" w:hAnsi="Titr" w:cs="B Zar" w:hint="cs"/>
          <w:b/>
          <w:bCs/>
          <w:color w:val="FF0000"/>
          <w:sz w:val="34"/>
          <w:szCs w:val="28"/>
          <w:rtl/>
          <w:lang w:bidi="fa-IR"/>
        </w:rPr>
        <w:t>مقالات در</w:t>
      </w:r>
      <w:r w:rsidR="00104805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t xml:space="preserve"> </w:t>
      </w:r>
      <w:r w:rsidR="004B1588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t>نخ</w:t>
      </w:r>
      <w:r w:rsidR="00104805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t>ستین همایش ملی بین</w:t>
      </w:r>
      <w:r w:rsidR="00104805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softHyphen/>
        <w:t>رشته</w:t>
      </w:r>
      <w:r w:rsidR="00104805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softHyphen/>
        <w:t>ای ایران</w:t>
      </w:r>
      <w:r w:rsidR="00104805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softHyphen/>
        <w:t>شناسی، زبان</w:t>
      </w:r>
      <w:r w:rsidR="00104805"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softHyphen/>
        <w:t>شناسی و مطالعات ترجمه</w:t>
      </w:r>
      <w:r w:rsidRPr="00CE4EC0">
        <w:rPr>
          <w:rFonts w:ascii="Titr" w:hAnsi="Titr" w:cs="B Zar"/>
          <w:b/>
          <w:bCs/>
          <w:color w:val="FF0000"/>
          <w:sz w:val="34"/>
          <w:szCs w:val="28"/>
          <w:rtl/>
          <w:lang w:bidi="fa-IR"/>
        </w:rPr>
        <w:t>»</w:t>
      </w:r>
    </w:p>
    <w:tbl>
      <w:tblPr>
        <w:tblStyle w:val="TableGrid"/>
        <w:tblW w:w="10149" w:type="dxa"/>
        <w:jc w:val="center"/>
        <w:tblLook w:val="04A0" w:firstRow="1" w:lastRow="0" w:firstColumn="1" w:lastColumn="0" w:noHBand="0" w:noVBand="1"/>
      </w:tblPr>
      <w:tblGrid>
        <w:gridCol w:w="240"/>
        <w:gridCol w:w="4536"/>
        <w:gridCol w:w="2835"/>
        <w:gridCol w:w="2538"/>
      </w:tblGrid>
      <w:tr w:rsidR="002261B4" w:rsidRPr="006249D3" w:rsidTr="002261B4">
        <w:trPr>
          <w:trHeight w:val="756"/>
          <w:jc w:val="center"/>
        </w:trPr>
        <w:tc>
          <w:tcPr>
            <w:tcW w:w="240" w:type="dxa"/>
            <w:vMerge w:val="restart"/>
            <w:shd w:val="clear" w:color="auto" w:fill="A6A6A6" w:themeFill="background1" w:themeFillShade="A6"/>
          </w:tcPr>
          <w:p w:rsidR="002261B4" w:rsidRPr="006249D3" w:rsidRDefault="002261B4" w:rsidP="0009673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36" w:type="dxa"/>
          </w:tcPr>
          <w:p w:rsidR="002261B4" w:rsidRPr="002261B4" w:rsidRDefault="002261B4" w:rsidP="0009673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نویسندۀ اول</w:t>
            </w:r>
          </w:p>
        </w:tc>
        <w:tc>
          <w:tcPr>
            <w:tcW w:w="2835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2538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نوع پذیرش</w:t>
            </w:r>
          </w:p>
        </w:tc>
      </w:tr>
      <w:tr w:rsidR="002261B4" w:rsidRPr="006249D3" w:rsidTr="002261B4">
        <w:trPr>
          <w:trHeight w:val="756"/>
          <w:jc w:val="center"/>
        </w:trPr>
        <w:tc>
          <w:tcPr>
            <w:tcW w:w="240" w:type="dxa"/>
            <w:vMerge/>
            <w:shd w:val="clear" w:color="auto" w:fill="A6A6A6" w:themeFill="background1" w:themeFillShade="A6"/>
          </w:tcPr>
          <w:p w:rsidR="002261B4" w:rsidRPr="006249D3" w:rsidRDefault="002261B4" w:rsidP="00F5712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36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150 هزار تومان</w:t>
            </w:r>
          </w:p>
        </w:tc>
        <w:tc>
          <w:tcPr>
            <w:tcW w:w="2835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>غیر دانشجو</w:t>
            </w:r>
          </w:p>
        </w:tc>
        <w:tc>
          <w:tcPr>
            <w:tcW w:w="2538" w:type="dxa"/>
            <w:vMerge w:val="restart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</w:p>
          <w:p w:rsidR="002261B4" w:rsidRPr="002261B4" w:rsidRDefault="002261B4" w:rsidP="0009673D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>ارائۀ در همایش و چاپ مقالۀ کامل در مجموعه مقالات</w:t>
            </w:r>
          </w:p>
        </w:tc>
      </w:tr>
      <w:tr w:rsidR="002261B4" w:rsidRPr="006249D3" w:rsidTr="002261B4">
        <w:trPr>
          <w:trHeight w:val="756"/>
          <w:jc w:val="center"/>
        </w:trPr>
        <w:tc>
          <w:tcPr>
            <w:tcW w:w="240" w:type="dxa"/>
            <w:vMerge/>
            <w:shd w:val="clear" w:color="auto" w:fill="A6A6A6" w:themeFill="background1" w:themeFillShade="A6"/>
          </w:tcPr>
          <w:p w:rsidR="002261B4" w:rsidRPr="006249D3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36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100 هزار تومان</w:t>
            </w:r>
          </w:p>
        </w:tc>
        <w:tc>
          <w:tcPr>
            <w:tcW w:w="2835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>دانشجو</w:t>
            </w:r>
          </w:p>
        </w:tc>
        <w:tc>
          <w:tcPr>
            <w:tcW w:w="2538" w:type="dxa"/>
            <w:vMerge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2261B4" w:rsidRPr="006249D3" w:rsidTr="002261B4">
        <w:trPr>
          <w:trHeight w:val="756"/>
          <w:jc w:val="center"/>
        </w:trPr>
        <w:tc>
          <w:tcPr>
            <w:tcW w:w="240" w:type="dxa"/>
            <w:vMerge/>
            <w:shd w:val="clear" w:color="auto" w:fill="A6A6A6" w:themeFill="background1" w:themeFillShade="A6"/>
          </w:tcPr>
          <w:p w:rsidR="002261B4" w:rsidRPr="006249D3" w:rsidRDefault="002261B4" w:rsidP="002261B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36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50 هزار تومان</w:t>
            </w:r>
          </w:p>
        </w:tc>
        <w:tc>
          <w:tcPr>
            <w:tcW w:w="2835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>غیر دانشجو</w:t>
            </w:r>
          </w:p>
        </w:tc>
        <w:tc>
          <w:tcPr>
            <w:tcW w:w="2538" w:type="dxa"/>
            <w:vMerge w:val="restart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</w:p>
          <w:p w:rsidR="002261B4" w:rsidRPr="002261B4" w:rsidRDefault="002261B4" w:rsidP="0009673D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 xml:space="preserve">ارائۀ پوستر و چاپ </w:t>
            </w:r>
            <w:r w:rsidR="00540C72"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>مقالۀ کامل</w:t>
            </w:r>
            <w:r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 xml:space="preserve"> در مجموعه مقالات</w:t>
            </w:r>
            <w:bookmarkStart w:id="0" w:name="_GoBack"/>
            <w:bookmarkEnd w:id="0"/>
          </w:p>
        </w:tc>
      </w:tr>
      <w:tr w:rsidR="002261B4" w:rsidRPr="006249D3" w:rsidTr="002261B4">
        <w:trPr>
          <w:trHeight w:val="819"/>
          <w:jc w:val="center"/>
        </w:trPr>
        <w:tc>
          <w:tcPr>
            <w:tcW w:w="240" w:type="dxa"/>
            <w:vMerge/>
            <w:shd w:val="clear" w:color="auto" w:fill="A6A6A6" w:themeFill="background1" w:themeFillShade="A6"/>
          </w:tcPr>
          <w:p w:rsidR="002261B4" w:rsidRPr="006249D3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36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30 هزار تومان</w:t>
            </w:r>
          </w:p>
        </w:tc>
        <w:tc>
          <w:tcPr>
            <w:tcW w:w="2835" w:type="dxa"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  <w:r w:rsidRPr="002261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fa-IR"/>
              </w:rPr>
              <w:t>دانشجو</w:t>
            </w:r>
          </w:p>
        </w:tc>
        <w:tc>
          <w:tcPr>
            <w:tcW w:w="2538" w:type="dxa"/>
            <w:vMerge/>
          </w:tcPr>
          <w:p w:rsidR="002261B4" w:rsidRPr="002261B4" w:rsidRDefault="002261B4" w:rsidP="00E00531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9E349F" w:rsidRPr="006249D3" w:rsidTr="009E349F">
        <w:trPr>
          <w:trHeight w:val="819"/>
          <w:jc w:val="center"/>
        </w:trPr>
        <w:tc>
          <w:tcPr>
            <w:tcW w:w="10149" w:type="dxa"/>
            <w:gridSpan w:val="4"/>
          </w:tcPr>
          <w:p w:rsidR="009E349F" w:rsidRPr="006249D3" w:rsidRDefault="009E349F" w:rsidP="00895A7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fa-IR"/>
              </w:rPr>
            </w:pPr>
          </w:p>
          <w:p w:rsidR="00F57120" w:rsidRPr="006249D3" w:rsidRDefault="00F57120" w:rsidP="00895A7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از هر نویسنده حداکثر دو مقاله مورد پذیرش قرار خواهد گرفت (بدون توجه به جایگاه نویسنده در ترتیب نویسندگان).</w:t>
            </w:r>
          </w:p>
          <w:p w:rsidR="00F57120" w:rsidRPr="006249D3" w:rsidRDefault="00F57120" w:rsidP="0009673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مقال</w:t>
            </w:r>
            <w:r w:rsidR="0009673D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ۀ</w:t>
            </w: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 دوم مشمول پرداخت 30 درصد از هزینه هر </w:t>
            </w:r>
            <w:r w:rsidR="00173479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نوع از نحو</w:t>
            </w:r>
            <w:r w:rsidR="0009673D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ۀ</w:t>
            </w:r>
            <w:r w:rsidR="00173479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 پذیرش مقالات در جدول فوق</w:t>
            </w: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 خواهد بود.</w:t>
            </w:r>
          </w:p>
          <w:p w:rsidR="009E349F" w:rsidRPr="006249D3" w:rsidRDefault="000203A5" w:rsidP="0009673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هزینۀ </w:t>
            </w:r>
            <w:r w:rsidR="009E349F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شرکت در همایش بدون ارائ</w:t>
            </w:r>
            <w:r w:rsidR="0009673D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ۀ </w:t>
            </w:r>
            <w:r w:rsidR="009E349F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مقاله با امکان استفاده از سایر خدمات همایش: 50 هزار تومان</w:t>
            </w: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5B5148" w:rsidRPr="006249D3" w:rsidRDefault="000203A5" w:rsidP="0009673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شرکت در همایش </w:t>
            </w:r>
            <w:r w:rsidR="009E349F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صرفا جهت استفاده از ارائ</w:t>
            </w:r>
            <w:r w:rsidR="0009673D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ۀ</w:t>
            </w:r>
            <w:r w:rsidR="009E349F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 مقالات پژوهشگران بدون استفاده از سایر خدمات همایش هزینه ندارد.</w:t>
            </w:r>
          </w:p>
          <w:p w:rsidR="009E349F" w:rsidRPr="006249D3" w:rsidRDefault="005B5148" w:rsidP="00895A7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مبلغ فوق شامل هزینۀ چاپ چکیده و اصل مقاله،</w:t>
            </w:r>
            <w:r w:rsidR="0009673D"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249D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fa-IR"/>
              </w:rPr>
              <w:t>صدور گواهینامه، دریافت پکیج همایش در مراسم افتتاحیه، دو شب اسکان در مهمانسرای دانشگاه (27 و 28 بهمن) و دو وعده ناهار (28 و 29 بهمن) است.</w:t>
            </w:r>
          </w:p>
        </w:tc>
      </w:tr>
    </w:tbl>
    <w:p w:rsidR="00CE4EC0" w:rsidRPr="00AF3687" w:rsidRDefault="00CE4EC0" w:rsidP="00AF3687">
      <w:pPr>
        <w:bidi/>
        <w:rPr>
          <w:rFonts w:ascii="Titr" w:hAnsi="Titr" w:cs="B Zar"/>
          <w:b/>
          <w:bCs/>
          <w:color w:val="FF0000"/>
          <w:sz w:val="8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157"/>
        <w:bidiVisual/>
        <w:tblW w:w="0" w:type="auto"/>
        <w:tblLook w:val="04A0" w:firstRow="1" w:lastRow="0" w:firstColumn="1" w:lastColumn="0" w:noHBand="0" w:noVBand="1"/>
      </w:tblPr>
      <w:tblGrid>
        <w:gridCol w:w="1030"/>
        <w:gridCol w:w="4183"/>
        <w:gridCol w:w="1089"/>
        <w:gridCol w:w="1006"/>
      </w:tblGrid>
      <w:tr w:rsidR="00745896" w:rsidRPr="006249D3" w:rsidTr="00745896">
        <w:trPr>
          <w:trHeight w:val="262"/>
        </w:trPr>
        <w:tc>
          <w:tcPr>
            <w:tcW w:w="1030" w:type="dxa"/>
          </w:tcPr>
          <w:p w:rsidR="00745896" w:rsidRPr="006249D3" w:rsidRDefault="00745896" w:rsidP="00745896">
            <w:pPr>
              <w:bidi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مدت زمان</w:t>
            </w:r>
          </w:p>
        </w:tc>
        <w:tc>
          <w:tcPr>
            <w:tcW w:w="4183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کارگاه آموزشی</w:t>
            </w:r>
          </w:p>
        </w:tc>
        <w:tc>
          <w:tcPr>
            <w:tcW w:w="1089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غیر دانشجو</w:t>
            </w:r>
          </w:p>
        </w:tc>
        <w:tc>
          <w:tcPr>
            <w:tcW w:w="1006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</w:tr>
      <w:tr w:rsidR="00745896" w:rsidRPr="006249D3" w:rsidTr="00745896">
        <w:trPr>
          <w:trHeight w:val="262"/>
        </w:trPr>
        <w:tc>
          <w:tcPr>
            <w:tcW w:w="1030" w:type="dxa"/>
          </w:tcPr>
          <w:p w:rsidR="00745896" w:rsidRPr="006249D3" w:rsidRDefault="00745896" w:rsidP="00745896">
            <w:pPr>
              <w:bidi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4183" w:type="dxa"/>
          </w:tcPr>
          <w:p w:rsidR="00745896" w:rsidRPr="006249D3" w:rsidRDefault="00745896" w:rsidP="00745896">
            <w:pPr>
              <w:bidi/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1. </w:t>
            </w: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>آموزش کارگاهی ترجمه؛ نظریه و عمل؛ دکتر خزاعی</w:t>
            </w:r>
            <w:r w:rsidRPr="006249D3">
              <w:rPr>
                <w:rStyle w:val="Strong"/>
                <w:rFonts w:ascii="Arabic Typesetting" w:hAnsi="Arabic Typesetting" w:cs="Arabic Typesetting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>‌</w:t>
            </w: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>فرید</w:t>
            </w:r>
          </w:p>
          <w:p w:rsidR="00745896" w:rsidRPr="006249D3" w:rsidRDefault="00745896" w:rsidP="00745896">
            <w:pPr>
              <w:bidi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>2. کاربرد پیکره‌های زبانی در ترجمه؛ دکتر بیکیان</w:t>
            </w:r>
          </w:p>
        </w:tc>
        <w:tc>
          <w:tcPr>
            <w:tcW w:w="1089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0هزار تومان</w:t>
            </w:r>
          </w:p>
        </w:tc>
        <w:tc>
          <w:tcPr>
            <w:tcW w:w="1006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50 هزار تومان</w:t>
            </w:r>
          </w:p>
        </w:tc>
      </w:tr>
      <w:tr w:rsidR="00745896" w:rsidRPr="006249D3" w:rsidTr="00745896">
        <w:trPr>
          <w:trHeight w:val="252"/>
        </w:trPr>
        <w:tc>
          <w:tcPr>
            <w:tcW w:w="1030" w:type="dxa"/>
          </w:tcPr>
          <w:p w:rsidR="00745896" w:rsidRPr="006249D3" w:rsidRDefault="00745896" w:rsidP="00745896">
            <w:pPr>
              <w:bidi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 ساعت</w:t>
            </w:r>
          </w:p>
        </w:tc>
        <w:tc>
          <w:tcPr>
            <w:tcW w:w="4183" w:type="dxa"/>
          </w:tcPr>
          <w:p w:rsidR="00745896" w:rsidRPr="006249D3" w:rsidRDefault="00745896" w:rsidP="00745896">
            <w:pPr>
              <w:bidi/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>1.</w:t>
            </w:r>
            <w:r w:rsidRPr="006249D3"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>زبان‌شناسی فرهنگی و کاربردهای آن؛ پروفسور شریفیان، دکتر اخلاقی</w:t>
            </w:r>
          </w:p>
          <w:p w:rsidR="00745896" w:rsidRPr="006249D3" w:rsidRDefault="00745896" w:rsidP="00745896">
            <w:pPr>
              <w:bidi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>2. آشنایی با روش‌های ترجمۀ ماشینی؛ دکتر بحرانی</w:t>
            </w:r>
          </w:p>
        </w:tc>
        <w:tc>
          <w:tcPr>
            <w:tcW w:w="1089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0 هزار تومان</w:t>
            </w:r>
          </w:p>
        </w:tc>
        <w:tc>
          <w:tcPr>
            <w:tcW w:w="1006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30 هزار تومان</w:t>
            </w:r>
          </w:p>
        </w:tc>
      </w:tr>
      <w:tr w:rsidR="00745896" w:rsidRPr="006249D3" w:rsidTr="00745896">
        <w:trPr>
          <w:trHeight w:val="252"/>
        </w:trPr>
        <w:tc>
          <w:tcPr>
            <w:tcW w:w="1030" w:type="dxa"/>
          </w:tcPr>
          <w:p w:rsidR="00745896" w:rsidRPr="006249D3" w:rsidRDefault="00745896" w:rsidP="00745896">
            <w:pPr>
              <w:bidi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 ساعت</w:t>
            </w:r>
          </w:p>
        </w:tc>
        <w:tc>
          <w:tcPr>
            <w:tcW w:w="4183" w:type="dxa"/>
          </w:tcPr>
          <w:p w:rsidR="00745896" w:rsidRPr="006249D3" w:rsidRDefault="00745896" w:rsidP="00745896">
            <w:pPr>
              <w:bidi/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6249D3">
              <w:rPr>
                <w:rStyle w:val="Strong"/>
                <w:rFonts w:ascii="Arabic Typesetting" w:hAnsi="Arabic Typesetting" w:cs="Arabic Typesetting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>1</w:t>
            </w: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249D3">
              <w:rPr>
                <w:rStyle w:val="Strong"/>
                <w:rFonts w:ascii="Arabic Typesetting" w:hAnsi="Arabic Typesetting" w:cs="Arabic Typesetting"/>
                <w:color w:val="000000" w:themeColor="text1"/>
                <w:sz w:val="24"/>
                <w:szCs w:val="24"/>
                <w:shd w:val="clear" w:color="auto" w:fill="FFFFFF"/>
                <w:rtl/>
              </w:rPr>
              <w:t>آشنایی با خط و زبان اوستایی؛ دکتر شکیبا</w:t>
            </w:r>
          </w:p>
        </w:tc>
        <w:tc>
          <w:tcPr>
            <w:tcW w:w="1089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30 هزار تومان</w:t>
            </w:r>
          </w:p>
        </w:tc>
        <w:tc>
          <w:tcPr>
            <w:tcW w:w="1006" w:type="dxa"/>
          </w:tcPr>
          <w:p w:rsidR="00745896" w:rsidRPr="006249D3" w:rsidRDefault="00745896" w:rsidP="007458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49D3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رایگان</w:t>
            </w:r>
          </w:p>
        </w:tc>
      </w:tr>
    </w:tbl>
    <w:p w:rsidR="00CC5CFA" w:rsidRPr="00E832C7" w:rsidRDefault="00D2256A" w:rsidP="00E832C7">
      <w:pPr>
        <w:bidi/>
        <w:jc w:val="center"/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</w:pPr>
      <w:r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t xml:space="preserve"> 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t>«هزینه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softHyphen/>
      </w:r>
      <w:r w:rsidR="00CE4EC0" w:rsidRPr="00CE4EC0">
        <w:rPr>
          <w:rFonts w:ascii="Titr" w:hAnsi="Titr" w:cs="B Zar" w:hint="cs"/>
          <w:b/>
          <w:bCs/>
          <w:color w:val="FF0000"/>
          <w:sz w:val="32"/>
          <w:szCs w:val="24"/>
          <w:rtl/>
          <w:lang w:bidi="fa-IR"/>
        </w:rPr>
        <w:t xml:space="preserve"> شرکت درکارگاه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softHyphen/>
      </w:r>
      <w:r w:rsidR="00CE4EC0" w:rsidRPr="00CE4EC0">
        <w:rPr>
          <w:rFonts w:ascii="Titr" w:hAnsi="Titr" w:cs="B Zar" w:hint="cs"/>
          <w:b/>
          <w:bCs/>
          <w:color w:val="FF0000"/>
          <w:sz w:val="32"/>
          <w:szCs w:val="24"/>
          <w:rtl/>
          <w:lang w:bidi="fa-IR"/>
        </w:rPr>
        <w:t xml:space="preserve">های 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t>نخستین همایش ملی بین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softHyphen/>
        <w:t>رشته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softHyphen/>
        <w:t>ای ایران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softHyphen/>
        <w:t>شناسی، زبان</w:t>
      </w:r>
      <w:r w:rsidR="00CE4EC0" w:rsidRPr="00CE4EC0">
        <w:rPr>
          <w:rFonts w:ascii="Titr" w:hAnsi="Titr" w:cs="B Zar"/>
          <w:b/>
          <w:bCs/>
          <w:color w:val="FF0000"/>
          <w:sz w:val="32"/>
          <w:szCs w:val="24"/>
          <w:rtl/>
          <w:lang w:bidi="fa-IR"/>
        </w:rPr>
        <w:softHyphen/>
        <w:t>شناسی و مطالعات ترجمه»</w:t>
      </w:r>
    </w:p>
    <w:sectPr w:rsidR="00CC5CFA" w:rsidRPr="00E832C7" w:rsidSect="00FB1E96">
      <w:pgSz w:w="12240" w:h="15840"/>
      <w:pgMar w:top="1440" w:right="576" w:bottom="1440" w:left="57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CE8"/>
    <w:multiLevelType w:val="hybridMultilevel"/>
    <w:tmpl w:val="58AA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2E2"/>
    <w:multiLevelType w:val="hybridMultilevel"/>
    <w:tmpl w:val="EE72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330"/>
    <w:multiLevelType w:val="hybridMultilevel"/>
    <w:tmpl w:val="FCBC84C0"/>
    <w:lvl w:ilvl="0" w:tplc="97BEC7DC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00"/>
    <w:rsid w:val="000203A5"/>
    <w:rsid w:val="0002652E"/>
    <w:rsid w:val="0009673D"/>
    <w:rsid w:val="00104805"/>
    <w:rsid w:val="00173479"/>
    <w:rsid w:val="002261B4"/>
    <w:rsid w:val="00233939"/>
    <w:rsid w:val="00353A56"/>
    <w:rsid w:val="00354D00"/>
    <w:rsid w:val="003D3481"/>
    <w:rsid w:val="004B1588"/>
    <w:rsid w:val="004B47C0"/>
    <w:rsid w:val="00540C72"/>
    <w:rsid w:val="005B5148"/>
    <w:rsid w:val="0061165B"/>
    <w:rsid w:val="006249D3"/>
    <w:rsid w:val="00734135"/>
    <w:rsid w:val="00745896"/>
    <w:rsid w:val="00751F5D"/>
    <w:rsid w:val="008360C0"/>
    <w:rsid w:val="00895A7C"/>
    <w:rsid w:val="00902E25"/>
    <w:rsid w:val="009A2589"/>
    <w:rsid w:val="009E349F"/>
    <w:rsid w:val="00AF3687"/>
    <w:rsid w:val="00B40110"/>
    <w:rsid w:val="00CC5CFA"/>
    <w:rsid w:val="00CE4EC0"/>
    <w:rsid w:val="00D2256A"/>
    <w:rsid w:val="00D23A94"/>
    <w:rsid w:val="00D74B7D"/>
    <w:rsid w:val="00DC4721"/>
    <w:rsid w:val="00E00531"/>
    <w:rsid w:val="00E26F0B"/>
    <w:rsid w:val="00E832C7"/>
    <w:rsid w:val="00F57120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7E5DF-56D3-4C5B-A51A-8C553F1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A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4A06-1D32-4FE0-BC2E-FFFA444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NOVIN-DANSH</dc:creator>
  <cp:keywords/>
  <dc:description/>
  <cp:lastModifiedBy>hamed</cp:lastModifiedBy>
  <cp:revision>2</cp:revision>
  <cp:lastPrinted>2019-09-25T18:25:00Z</cp:lastPrinted>
  <dcterms:created xsi:type="dcterms:W3CDTF">2020-02-02T17:03:00Z</dcterms:created>
  <dcterms:modified xsi:type="dcterms:W3CDTF">2020-02-02T17:03:00Z</dcterms:modified>
</cp:coreProperties>
</file>